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4FDF3282"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7637F7" w:rsidRPr="007637F7">
              <w:rPr>
                <w:b/>
                <w:bCs/>
                <w:sz w:val="16"/>
                <w:szCs w:val="16"/>
              </w:rPr>
              <w:t>Project Manager</w:t>
            </w:r>
          </w:p>
        </w:tc>
        <w:tc>
          <w:tcPr>
            <w:tcW w:w="5300" w:type="dxa"/>
            <w:tcBorders>
              <w:top w:val="single" w:sz="8" w:space="0" w:color="auto"/>
              <w:bottom w:val="single" w:sz="8" w:space="0" w:color="auto"/>
              <w:right w:val="single" w:sz="8" w:space="0" w:color="auto"/>
            </w:tcBorders>
          </w:tcPr>
          <w:p w14:paraId="524C9689" w14:textId="3964C5A8"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7637F7">
              <w:rPr>
                <w:b/>
                <w:sz w:val="16"/>
                <w:szCs w:val="16"/>
              </w:rPr>
              <w:t>24/04/2026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AfnogWs0mr/Rtx+L4Nnw2Cx5Jv1e3icllCZzTr85CxZvVxOEce1FZwGKTDdHITBENSibdolNsLIX9RiVwm2xQ==" w:salt="X2Y2FjRMYjKCxd946rgTL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12852"/>
    <w:rsid w:val="00580EF5"/>
    <w:rsid w:val="005A67BD"/>
    <w:rsid w:val="00710F73"/>
    <w:rsid w:val="00722772"/>
    <w:rsid w:val="0073532D"/>
    <w:rsid w:val="007637F7"/>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95EC957B-910D-4BAE-8480-1E36E938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3675</Words>
  <Characters>19295</Characters>
  <Application>Microsoft Office Word</Application>
  <DocSecurity>0</DocSecurity>
  <Lines>1015</Lines>
  <Paragraphs>546</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2026-04-13T14:00:00Z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